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F311E" w14:textId="77777777" w:rsidR="00594EE8" w:rsidRPr="00594EE8" w:rsidRDefault="00BB7C85" w:rsidP="00594EE8">
      <w:pPr>
        <w:spacing w:after="120" w:line="360" w:lineRule="auto"/>
        <w:jc w:val="center"/>
        <w:rPr>
          <w:rFonts w:eastAsia="Calibri"/>
          <w:b/>
          <w:smallCaps/>
          <w:sz w:val="32"/>
          <w:szCs w:val="32"/>
          <w:u w:val="single"/>
        </w:rPr>
      </w:pPr>
      <w:r>
        <w:rPr>
          <w:rFonts w:eastAsia="Calibri"/>
          <w:b/>
          <w:smallCaps/>
          <w:sz w:val="32"/>
          <w:szCs w:val="32"/>
          <w:u w:val="single"/>
        </w:rPr>
        <w:t>Loan Broker</w:t>
      </w:r>
      <w:r w:rsidR="00594EE8" w:rsidRPr="00594EE8">
        <w:rPr>
          <w:rFonts w:eastAsia="Calibri"/>
          <w:b/>
          <w:smallCaps/>
          <w:sz w:val="32"/>
          <w:szCs w:val="32"/>
          <w:u w:val="single"/>
        </w:rPr>
        <w:t xml:space="preserve"> Examination </w:t>
      </w:r>
      <w:r w:rsidR="0021337C">
        <w:rPr>
          <w:rFonts w:eastAsia="Calibri"/>
          <w:b/>
          <w:smallCaps/>
          <w:sz w:val="32"/>
          <w:szCs w:val="32"/>
          <w:u w:val="single"/>
        </w:rPr>
        <w:t>Process and Procedures</w:t>
      </w:r>
    </w:p>
    <w:p w14:paraId="3D3C29A2" w14:textId="77777777" w:rsidR="00E56CAC" w:rsidRPr="00E56CAC" w:rsidRDefault="009B0F46" w:rsidP="00E56CAC">
      <w:pPr>
        <w:spacing w:after="120" w:line="360" w:lineRule="auto"/>
        <w:rPr>
          <w:rFonts w:eastAsia="Calibri"/>
          <w:b/>
          <w:sz w:val="24"/>
          <w:szCs w:val="24"/>
        </w:rPr>
      </w:pPr>
      <w:r>
        <w:rPr>
          <w:rFonts w:eastAsia="Calibri"/>
          <w:b/>
          <w:sz w:val="24"/>
          <w:szCs w:val="24"/>
        </w:rPr>
        <w:t>Statement Concerning Examinations</w:t>
      </w:r>
    </w:p>
    <w:p w14:paraId="48160E9B" w14:textId="77777777" w:rsidR="00E56CAC" w:rsidRPr="00E56CAC" w:rsidRDefault="004320A2" w:rsidP="0029418A">
      <w:pPr>
        <w:spacing w:after="120" w:line="360" w:lineRule="auto"/>
        <w:jc w:val="both"/>
        <w:rPr>
          <w:rFonts w:eastAsia="Calibri"/>
          <w:sz w:val="24"/>
          <w:szCs w:val="24"/>
        </w:rPr>
      </w:pPr>
      <w:r>
        <w:rPr>
          <w:rFonts w:eastAsia="Calibri"/>
          <w:sz w:val="24"/>
          <w:szCs w:val="24"/>
        </w:rPr>
        <w:t xml:space="preserve">The Indiana Secretary of State, Securities Division (“Division”) routinely conducts examinations of </w:t>
      </w:r>
      <w:r w:rsidR="00C86778">
        <w:rPr>
          <w:rFonts w:eastAsia="Calibri"/>
          <w:sz w:val="24"/>
          <w:szCs w:val="24"/>
        </w:rPr>
        <w:t>loan brokers</w:t>
      </w:r>
      <w:r>
        <w:rPr>
          <w:rFonts w:eastAsia="Calibri"/>
          <w:sz w:val="24"/>
          <w:szCs w:val="24"/>
        </w:rPr>
        <w:t xml:space="preserve"> </w:t>
      </w:r>
      <w:r w:rsidR="00C86778">
        <w:rPr>
          <w:rFonts w:eastAsia="Calibri"/>
          <w:sz w:val="24"/>
          <w:szCs w:val="24"/>
        </w:rPr>
        <w:t>licensed</w:t>
      </w:r>
      <w:r>
        <w:rPr>
          <w:rFonts w:eastAsia="Calibri"/>
          <w:sz w:val="24"/>
          <w:szCs w:val="24"/>
        </w:rPr>
        <w:t xml:space="preserve"> in the State of Indiana for </w:t>
      </w:r>
      <w:r w:rsidR="00C86778">
        <w:rPr>
          <w:rFonts w:eastAsia="Calibri"/>
          <w:sz w:val="24"/>
          <w:szCs w:val="24"/>
        </w:rPr>
        <w:t>compliance with the Indiana Broker Act (IC 23-2.5),  the</w:t>
      </w:r>
      <w:r>
        <w:rPr>
          <w:rFonts w:eastAsia="Calibri"/>
          <w:sz w:val="24"/>
          <w:szCs w:val="24"/>
        </w:rPr>
        <w:t xml:space="preserve"> Indiana Administrative Code</w:t>
      </w:r>
      <w:r w:rsidR="00C86778">
        <w:rPr>
          <w:rFonts w:eastAsia="Calibri"/>
          <w:sz w:val="24"/>
          <w:szCs w:val="24"/>
        </w:rPr>
        <w:t xml:space="preserve"> (710 IAC 1-22-4), and supporting Federal Regulations</w:t>
      </w:r>
      <w:r>
        <w:rPr>
          <w:rFonts w:eastAsia="Calibri"/>
          <w:sz w:val="24"/>
          <w:szCs w:val="24"/>
        </w:rPr>
        <w:t xml:space="preserve">.  </w:t>
      </w:r>
      <w:r w:rsidR="00196BD9">
        <w:rPr>
          <w:rFonts w:eastAsia="Calibri"/>
          <w:sz w:val="24"/>
          <w:szCs w:val="24"/>
        </w:rPr>
        <w:t>Pursuant to Ind. Code {23-2.5 and 710 Ind. Admin Code {1-22-4, the Indiana Securities Division may conduct an examination of the books and records of any loan brokerage business in Indiana.  Ind. Code {23-2.5-11-6(a)(5) states: “The commissioner, upon the basis of a complaint or information, that reasonable grounds exist for the belief that an investigation or examination is necessary or advisable for the more complete protection of the interests of the public; and including investigations and examinations of a loan broker office, principal place of business, branch office, or location listed in a mortgage loan originator’s application under IC 23-2.5-4-3.”</w:t>
      </w:r>
      <w:r w:rsidR="00E56CAC" w:rsidRPr="00E56CAC">
        <w:rPr>
          <w:rFonts w:eastAsia="Calibri"/>
          <w:sz w:val="24"/>
          <w:szCs w:val="24"/>
        </w:rPr>
        <w:t xml:space="preserve"> </w:t>
      </w:r>
      <w:r w:rsidR="00196BD9" w:rsidRPr="00E56CAC">
        <w:rPr>
          <w:rFonts w:eastAsia="Calibri"/>
          <w:sz w:val="24"/>
          <w:szCs w:val="24"/>
        </w:rPr>
        <w:t>While most examinations are scheduled in advance, the Securities Division has the authority to conduct unannounced for-cause examinations at any time it is necessary for th</w:t>
      </w:r>
      <w:r w:rsidR="00196BD9">
        <w:rPr>
          <w:rFonts w:eastAsia="Calibri"/>
          <w:sz w:val="24"/>
          <w:szCs w:val="24"/>
        </w:rPr>
        <w:t xml:space="preserve">e protection of the public interest.  </w:t>
      </w:r>
      <w:r w:rsidR="00E56CAC" w:rsidRPr="00E56CAC">
        <w:rPr>
          <w:rFonts w:eastAsia="Calibri"/>
          <w:sz w:val="24"/>
          <w:szCs w:val="24"/>
        </w:rPr>
        <w:t>The Commissioner may copy, and</w:t>
      </w:r>
      <w:r w:rsidR="00196BD9">
        <w:rPr>
          <w:rFonts w:eastAsia="Calibri"/>
          <w:sz w:val="24"/>
          <w:szCs w:val="24"/>
        </w:rPr>
        <w:t xml:space="preserve"> remove for </w:t>
      </w:r>
      <w:r w:rsidR="00D4783A">
        <w:rPr>
          <w:rFonts w:eastAsia="Calibri"/>
          <w:sz w:val="24"/>
          <w:szCs w:val="24"/>
        </w:rPr>
        <w:t xml:space="preserve">examination </w:t>
      </w:r>
      <w:r w:rsidR="00E56CAC" w:rsidRPr="00E56CAC">
        <w:rPr>
          <w:rFonts w:eastAsia="Calibri"/>
          <w:sz w:val="24"/>
          <w:szCs w:val="24"/>
        </w:rPr>
        <w:t>copies of, all records the Commissioner reasonably considers necessary or appropriate to</w:t>
      </w:r>
      <w:r w:rsidR="00D4783A">
        <w:rPr>
          <w:rFonts w:eastAsia="Calibri"/>
          <w:sz w:val="24"/>
          <w:szCs w:val="24"/>
        </w:rPr>
        <w:t xml:space="preserve"> conduct the examination</w:t>
      </w:r>
      <w:r w:rsidR="00E56CAC" w:rsidRPr="00E56CAC">
        <w:rPr>
          <w:rFonts w:eastAsia="Calibri"/>
          <w:sz w:val="24"/>
          <w:szCs w:val="24"/>
        </w:rPr>
        <w:t xml:space="preserve">. </w:t>
      </w:r>
    </w:p>
    <w:p w14:paraId="113B3996" w14:textId="77777777" w:rsidR="00E56CAC" w:rsidRPr="00E56CAC" w:rsidRDefault="009B0F46" w:rsidP="00E56CAC">
      <w:pPr>
        <w:spacing w:after="120" w:line="360" w:lineRule="auto"/>
        <w:rPr>
          <w:rFonts w:eastAsia="Calibri"/>
          <w:b/>
          <w:sz w:val="24"/>
          <w:szCs w:val="24"/>
        </w:rPr>
      </w:pPr>
      <w:r>
        <w:rPr>
          <w:rFonts w:eastAsia="Calibri"/>
          <w:b/>
          <w:sz w:val="24"/>
          <w:szCs w:val="24"/>
        </w:rPr>
        <w:t>Prior to</w:t>
      </w:r>
      <w:r w:rsidR="00E56CAC" w:rsidRPr="00E56CAC">
        <w:rPr>
          <w:rFonts w:eastAsia="Calibri"/>
          <w:b/>
          <w:sz w:val="24"/>
          <w:szCs w:val="24"/>
        </w:rPr>
        <w:t xml:space="preserve"> the </w:t>
      </w:r>
      <w:r w:rsidR="001C4C74">
        <w:rPr>
          <w:rFonts w:eastAsia="Calibri"/>
          <w:b/>
          <w:sz w:val="24"/>
          <w:szCs w:val="24"/>
        </w:rPr>
        <w:t xml:space="preserve">Onsite Portion of the </w:t>
      </w:r>
      <w:r w:rsidR="00E56CAC" w:rsidRPr="00E56CAC">
        <w:rPr>
          <w:rFonts w:eastAsia="Calibri"/>
          <w:b/>
          <w:sz w:val="24"/>
          <w:szCs w:val="24"/>
        </w:rPr>
        <w:t>Examination</w:t>
      </w:r>
    </w:p>
    <w:p w14:paraId="281CEAD6" w14:textId="77777777" w:rsidR="00E56CAC" w:rsidRDefault="001C4C74" w:rsidP="0029418A">
      <w:pPr>
        <w:spacing w:after="120" w:line="360" w:lineRule="auto"/>
        <w:jc w:val="both"/>
        <w:rPr>
          <w:rFonts w:eastAsia="Calibri"/>
          <w:sz w:val="24"/>
          <w:szCs w:val="24"/>
        </w:rPr>
      </w:pPr>
      <w:r>
        <w:rPr>
          <w:rFonts w:eastAsia="Calibri"/>
          <w:sz w:val="24"/>
          <w:szCs w:val="24"/>
        </w:rPr>
        <w:t>A licensed loan broker</w:t>
      </w:r>
      <w:r w:rsidR="00E56CAC" w:rsidRPr="00E56CAC">
        <w:rPr>
          <w:rFonts w:eastAsia="Calibri"/>
          <w:sz w:val="24"/>
          <w:szCs w:val="24"/>
        </w:rPr>
        <w:t xml:space="preserve"> can expect routine examinations of </w:t>
      </w:r>
      <w:r w:rsidR="00F252AA">
        <w:rPr>
          <w:rFonts w:eastAsia="Calibri"/>
          <w:sz w:val="24"/>
          <w:szCs w:val="24"/>
        </w:rPr>
        <w:t>its book</w:t>
      </w:r>
      <w:r w:rsidR="00E9398D">
        <w:rPr>
          <w:rFonts w:eastAsia="Calibri"/>
          <w:sz w:val="24"/>
          <w:szCs w:val="24"/>
        </w:rPr>
        <w:t>s</w:t>
      </w:r>
      <w:r w:rsidR="00F252AA">
        <w:rPr>
          <w:rFonts w:eastAsia="Calibri"/>
          <w:sz w:val="24"/>
          <w:szCs w:val="24"/>
        </w:rPr>
        <w:t xml:space="preserve">, </w:t>
      </w:r>
      <w:r>
        <w:rPr>
          <w:rFonts w:eastAsia="Calibri"/>
          <w:sz w:val="24"/>
          <w:szCs w:val="24"/>
        </w:rPr>
        <w:t>records</w:t>
      </w:r>
      <w:r w:rsidR="00F252AA">
        <w:rPr>
          <w:rFonts w:eastAsia="Calibri"/>
          <w:sz w:val="24"/>
          <w:szCs w:val="24"/>
        </w:rPr>
        <w:t>, and loan origination files</w:t>
      </w:r>
      <w:r>
        <w:rPr>
          <w:rFonts w:eastAsia="Calibri"/>
          <w:sz w:val="24"/>
          <w:szCs w:val="24"/>
        </w:rPr>
        <w:t xml:space="preserve">.  </w:t>
      </w:r>
      <w:r w:rsidR="00E56CAC" w:rsidRPr="00E56CAC">
        <w:rPr>
          <w:rFonts w:eastAsia="Calibri"/>
          <w:sz w:val="24"/>
          <w:szCs w:val="24"/>
        </w:rPr>
        <w:t>Prior to the examination</w:t>
      </w:r>
      <w:r w:rsidR="004320A2">
        <w:rPr>
          <w:rFonts w:eastAsia="Calibri"/>
          <w:sz w:val="24"/>
          <w:szCs w:val="24"/>
        </w:rPr>
        <w:t>,</w:t>
      </w:r>
      <w:r>
        <w:rPr>
          <w:rFonts w:eastAsia="Calibri"/>
          <w:sz w:val="24"/>
          <w:szCs w:val="24"/>
        </w:rPr>
        <w:t xml:space="preserve"> the loan broker</w:t>
      </w:r>
      <w:r w:rsidR="00E56CAC" w:rsidRPr="00E56CAC">
        <w:rPr>
          <w:rFonts w:eastAsia="Calibri"/>
          <w:sz w:val="24"/>
          <w:szCs w:val="24"/>
        </w:rPr>
        <w:t xml:space="preserve"> will </w:t>
      </w:r>
      <w:r w:rsidR="004320A2">
        <w:rPr>
          <w:rFonts w:eastAsia="Calibri"/>
          <w:sz w:val="24"/>
          <w:szCs w:val="24"/>
        </w:rPr>
        <w:t>be contacted by</w:t>
      </w:r>
      <w:r>
        <w:rPr>
          <w:rFonts w:eastAsia="Calibri"/>
          <w:sz w:val="24"/>
          <w:szCs w:val="24"/>
        </w:rPr>
        <w:t xml:space="preserve"> the loan broker</w:t>
      </w:r>
      <w:r w:rsidR="00E56CAC" w:rsidRPr="00E56CAC">
        <w:rPr>
          <w:rFonts w:eastAsia="Calibri"/>
          <w:sz w:val="24"/>
          <w:szCs w:val="24"/>
        </w:rPr>
        <w:t xml:space="preserve"> examiner </w:t>
      </w:r>
      <w:r>
        <w:rPr>
          <w:rFonts w:eastAsia="Calibri"/>
          <w:sz w:val="24"/>
          <w:szCs w:val="24"/>
        </w:rPr>
        <w:t>to schedule</w:t>
      </w:r>
      <w:r w:rsidR="00E56CAC" w:rsidRPr="00E56CAC">
        <w:rPr>
          <w:rFonts w:eastAsia="Calibri"/>
          <w:sz w:val="24"/>
          <w:szCs w:val="24"/>
        </w:rPr>
        <w:t xml:space="preserve"> the date and time of the examination. </w:t>
      </w:r>
      <w:r w:rsidR="004320A2">
        <w:rPr>
          <w:rFonts w:eastAsia="Calibri"/>
          <w:sz w:val="24"/>
          <w:szCs w:val="24"/>
        </w:rPr>
        <w:t>The examiner will request</w:t>
      </w:r>
      <w:r w:rsidR="00653442">
        <w:rPr>
          <w:rFonts w:eastAsia="Calibri"/>
          <w:sz w:val="24"/>
          <w:szCs w:val="24"/>
        </w:rPr>
        <w:t xml:space="preserve"> in writing</w:t>
      </w:r>
      <w:r w:rsidR="004320A2">
        <w:rPr>
          <w:rFonts w:eastAsia="Calibri"/>
          <w:sz w:val="24"/>
          <w:szCs w:val="24"/>
        </w:rPr>
        <w:t xml:space="preserve"> </w:t>
      </w:r>
      <w:r w:rsidR="00653442">
        <w:rPr>
          <w:rFonts w:eastAsia="Calibri"/>
          <w:sz w:val="24"/>
          <w:szCs w:val="24"/>
        </w:rPr>
        <w:t xml:space="preserve">various documents, records, and forms from the loan broker for review.  These </w:t>
      </w:r>
      <w:r w:rsidR="00E9398D">
        <w:rPr>
          <w:rFonts w:eastAsia="Calibri"/>
          <w:sz w:val="24"/>
          <w:szCs w:val="24"/>
        </w:rPr>
        <w:t xml:space="preserve">will </w:t>
      </w:r>
      <w:r w:rsidR="00653442">
        <w:rPr>
          <w:rFonts w:eastAsia="Calibri"/>
          <w:sz w:val="24"/>
          <w:szCs w:val="24"/>
        </w:rPr>
        <w:t>include policies and procedures, financial statements, personnel and lender lists, compensation agreements, examples of advertising and marketing, loan origination files, and the completed Loan Broker Examination Questionnaire.   If warranted, additional documents and records may</w:t>
      </w:r>
      <w:r w:rsidR="00E56CAC" w:rsidRPr="00E56CAC">
        <w:rPr>
          <w:rFonts w:eastAsia="Calibri"/>
          <w:sz w:val="24"/>
          <w:szCs w:val="24"/>
        </w:rPr>
        <w:t xml:space="preserve"> be </w:t>
      </w:r>
      <w:r w:rsidR="00653442">
        <w:rPr>
          <w:rFonts w:eastAsia="Calibri"/>
          <w:sz w:val="24"/>
          <w:szCs w:val="24"/>
        </w:rPr>
        <w:t xml:space="preserve">requested to be </w:t>
      </w:r>
      <w:r w:rsidR="00E56CAC" w:rsidRPr="00E56CAC">
        <w:rPr>
          <w:rFonts w:eastAsia="Calibri"/>
          <w:sz w:val="24"/>
          <w:szCs w:val="24"/>
        </w:rPr>
        <w:t xml:space="preserve">made available during the </w:t>
      </w:r>
      <w:r w:rsidR="00571AF5">
        <w:rPr>
          <w:rFonts w:eastAsia="Calibri"/>
          <w:sz w:val="24"/>
          <w:szCs w:val="24"/>
        </w:rPr>
        <w:t xml:space="preserve">onsite </w:t>
      </w:r>
      <w:r w:rsidR="00653442">
        <w:rPr>
          <w:rFonts w:eastAsia="Calibri"/>
          <w:sz w:val="24"/>
          <w:szCs w:val="24"/>
        </w:rPr>
        <w:t xml:space="preserve">portion of the </w:t>
      </w:r>
      <w:r w:rsidR="00E9398D">
        <w:rPr>
          <w:rFonts w:eastAsia="Calibri"/>
          <w:sz w:val="24"/>
          <w:szCs w:val="24"/>
        </w:rPr>
        <w:t>exam</w:t>
      </w:r>
      <w:r w:rsidR="00E56CAC" w:rsidRPr="00E56CAC">
        <w:rPr>
          <w:rFonts w:eastAsia="Calibri"/>
          <w:sz w:val="24"/>
          <w:szCs w:val="24"/>
        </w:rPr>
        <w:t xml:space="preserve">.  </w:t>
      </w:r>
    </w:p>
    <w:p w14:paraId="7869E82F" w14:textId="77777777" w:rsidR="00E9398D" w:rsidRDefault="00E9398D" w:rsidP="0029418A">
      <w:pPr>
        <w:spacing w:after="120" w:line="360" w:lineRule="auto"/>
        <w:jc w:val="both"/>
        <w:rPr>
          <w:rFonts w:eastAsia="Calibri"/>
          <w:sz w:val="24"/>
          <w:szCs w:val="24"/>
        </w:rPr>
      </w:pPr>
    </w:p>
    <w:p w14:paraId="11FD481E" w14:textId="77777777" w:rsidR="00F252AA" w:rsidRDefault="00F252AA" w:rsidP="0029418A">
      <w:pPr>
        <w:spacing w:after="120" w:line="360" w:lineRule="auto"/>
        <w:jc w:val="both"/>
        <w:rPr>
          <w:rFonts w:eastAsia="Calibri"/>
          <w:sz w:val="24"/>
          <w:szCs w:val="24"/>
        </w:rPr>
      </w:pPr>
      <w:r>
        <w:rPr>
          <w:rFonts w:eastAsia="Calibri"/>
          <w:sz w:val="24"/>
          <w:szCs w:val="24"/>
        </w:rPr>
        <w:lastRenderedPageBreak/>
        <w:t>All documents, files, and records provided to the examiner by the loan broker will be thoroughly reviewed by the examiner before the onsite portion of the exam.  The examiner will make notes of any items, parts of files, and/or questions that need clarification or further explanation during the onsite portion of the exam.</w:t>
      </w:r>
    </w:p>
    <w:p w14:paraId="3CC44FE2" w14:textId="77777777" w:rsidR="00E56CAC" w:rsidRPr="00E56CAC" w:rsidRDefault="00E56CAC" w:rsidP="00E56CAC">
      <w:pPr>
        <w:spacing w:after="120" w:line="360" w:lineRule="auto"/>
        <w:rPr>
          <w:rFonts w:eastAsia="Calibri"/>
          <w:b/>
          <w:sz w:val="24"/>
          <w:szCs w:val="24"/>
        </w:rPr>
      </w:pPr>
      <w:r w:rsidRPr="00E56CAC">
        <w:rPr>
          <w:rFonts w:eastAsia="Calibri"/>
          <w:b/>
          <w:sz w:val="24"/>
          <w:szCs w:val="24"/>
        </w:rPr>
        <w:t xml:space="preserve">The </w:t>
      </w:r>
      <w:r w:rsidR="00C04872">
        <w:rPr>
          <w:rFonts w:eastAsia="Calibri"/>
          <w:b/>
          <w:sz w:val="24"/>
          <w:szCs w:val="24"/>
        </w:rPr>
        <w:t xml:space="preserve">Onsite Portion of the </w:t>
      </w:r>
      <w:r w:rsidRPr="00E56CAC">
        <w:rPr>
          <w:rFonts w:eastAsia="Calibri"/>
          <w:b/>
          <w:sz w:val="24"/>
          <w:szCs w:val="24"/>
        </w:rPr>
        <w:t>Examination</w:t>
      </w:r>
    </w:p>
    <w:p w14:paraId="523978A7" w14:textId="77777777" w:rsidR="00E56CAC" w:rsidRPr="00E56CAC" w:rsidRDefault="00E56CAC" w:rsidP="0029418A">
      <w:pPr>
        <w:spacing w:after="120" w:line="360" w:lineRule="auto"/>
        <w:jc w:val="both"/>
        <w:rPr>
          <w:rFonts w:eastAsia="Calibri"/>
          <w:sz w:val="24"/>
          <w:szCs w:val="24"/>
        </w:rPr>
      </w:pPr>
      <w:r w:rsidRPr="00E56CAC">
        <w:rPr>
          <w:rFonts w:eastAsia="Calibri"/>
          <w:sz w:val="24"/>
          <w:szCs w:val="24"/>
        </w:rPr>
        <w:t xml:space="preserve">During the </w:t>
      </w:r>
      <w:r w:rsidR="00C04872">
        <w:rPr>
          <w:rFonts w:eastAsia="Calibri"/>
          <w:sz w:val="24"/>
          <w:szCs w:val="24"/>
        </w:rPr>
        <w:t xml:space="preserve">onsite portion of the </w:t>
      </w:r>
      <w:r w:rsidRPr="00E56CAC">
        <w:rPr>
          <w:rFonts w:eastAsia="Calibri"/>
          <w:sz w:val="24"/>
          <w:szCs w:val="24"/>
        </w:rPr>
        <w:t>examination, the examin</w:t>
      </w:r>
      <w:r w:rsidR="00C04872">
        <w:rPr>
          <w:rFonts w:eastAsia="Calibri"/>
          <w:sz w:val="24"/>
          <w:szCs w:val="24"/>
        </w:rPr>
        <w:t xml:space="preserve">er will take a quick tour of the office area, and then spend the majority of the time speaking with and interviewing the loan broker </w:t>
      </w:r>
      <w:r w:rsidR="00F057DF">
        <w:rPr>
          <w:rFonts w:eastAsia="Calibri"/>
          <w:sz w:val="24"/>
          <w:szCs w:val="24"/>
        </w:rPr>
        <w:t xml:space="preserve">regarding the </w:t>
      </w:r>
      <w:r w:rsidR="00C04872">
        <w:rPr>
          <w:rFonts w:eastAsia="Calibri"/>
          <w:sz w:val="24"/>
          <w:szCs w:val="24"/>
        </w:rPr>
        <w:t xml:space="preserve">operation and </w:t>
      </w:r>
      <w:r w:rsidR="00F057DF">
        <w:rPr>
          <w:rFonts w:eastAsia="Calibri"/>
          <w:sz w:val="24"/>
          <w:szCs w:val="24"/>
        </w:rPr>
        <w:t>conduct of the</w:t>
      </w:r>
      <w:r w:rsidR="00C04872">
        <w:rPr>
          <w:rFonts w:eastAsia="Calibri"/>
          <w:sz w:val="24"/>
          <w:szCs w:val="24"/>
        </w:rPr>
        <w:t xml:space="preserve"> loan broker’s</w:t>
      </w:r>
      <w:r w:rsidR="00F057DF">
        <w:rPr>
          <w:rFonts w:eastAsia="Calibri"/>
          <w:sz w:val="24"/>
          <w:szCs w:val="24"/>
        </w:rPr>
        <w:t xml:space="preserve"> business</w:t>
      </w:r>
      <w:r w:rsidRPr="00E56CAC">
        <w:rPr>
          <w:rFonts w:eastAsia="Calibri"/>
          <w:sz w:val="24"/>
          <w:szCs w:val="24"/>
        </w:rPr>
        <w:t xml:space="preserve">.  The examiner </w:t>
      </w:r>
      <w:r w:rsidR="00C04872">
        <w:rPr>
          <w:rFonts w:eastAsia="Calibri"/>
          <w:sz w:val="24"/>
          <w:szCs w:val="24"/>
        </w:rPr>
        <w:t xml:space="preserve">may also interview other individuals in the organization at will.  </w:t>
      </w:r>
      <w:r w:rsidR="008B092F">
        <w:rPr>
          <w:rFonts w:eastAsia="Calibri"/>
          <w:sz w:val="24"/>
          <w:szCs w:val="24"/>
        </w:rPr>
        <w:t>The examiner may request additional documents</w:t>
      </w:r>
      <w:r w:rsidR="00C04872">
        <w:rPr>
          <w:rFonts w:eastAsia="Calibri"/>
          <w:sz w:val="24"/>
          <w:szCs w:val="24"/>
        </w:rPr>
        <w:t>, records, and or loan origination files</w:t>
      </w:r>
      <w:r w:rsidR="008B092F">
        <w:rPr>
          <w:rFonts w:eastAsia="Calibri"/>
          <w:sz w:val="24"/>
          <w:szCs w:val="24"/>
        </w:rPr>
        <w:t xml:space="preserve"> for review during the onsite examination.  </w:t>
      </w:r>
      <w:r w:rsidRPr="00E56CAC">
        <w:rPr>
          <w:rFonts w:eastAsia="Calibri"/>
          <w:sz w:val="24"/>
          <w:szCs w:val="24"/>
        </w:rPr>
        <w:t>If the records are maintained in electronic format, electronic copies may be provided to the examiner in lieu of hard copies.    The examiner will be available to answer questions during the examination</w:t>
      </w:r>
      <w:r w:rsidR="008B092F">
        <w:rPr>
          <w:rFonts w:eastAsia="Calibri"/>
          <w:sz w:val="24"/>
          <w:szCs w:val="24"/>
        </w:rPr>
        <w:t>,</w:t>
      </w:r>
      <w:r w:rsidRPr="00E56CAC">
        <w:rPr>
          <w:rFonts w:eastAsia="Calibri"/>
          <w:sz w:val="24"/>
          <w:szCs w:val="24"/>
        </w:rPr>
        <w:t xml:space="preserve"> but cannot provide legal advice.  The length of the examination will vary depending on the</w:t>
      </w:r>
      <w:r w:rsidR="008B092F">
        <w:rPr>
          <w:rFonts w:eastAsia="Calibri"/>
          <w:sz w:val="24"/>
          <w:szCs w:val="24"/>
        </w:rPr>
        <w:t xml:space="preserve"> complexity of the </w:t>
      </w:r>
      <w:r w:rsidR="00F25779">
        <w:rPr>
          <w:rFonts w:eastAsia="Calibri"/>
          <w:sz w:val="24"/>
          <w:szCs w:val="24"/>
        </w:rPr>
        <w:t>examination</w:t>
      </w:r>
      <w:r w:rsidRPr="00E56CAC">
        <w:rPr>
          <w:rFonts w:eastAsia="Calibri"/>
          <w:sz w:val="24"/>
          <w:szCs w:val="24"/>
        </w:rPr>
        <w:t>, but generally an examination will not last more than one day</w:t>
      </w:r>
      <w:r w:rsidR="00F851AD">
        <w:rPr>
          <w:rFonts w:eastAsia="Calibri"/>
          <w:sz w:val="24"/>
          <w:szCs w:val="24"/>
        </w:rPr>
        <w:t xml:space="preserve"> or less</w:t>
      </w:r>
      <w:r w:rsidRPr="00E56CAC">
        <w:rPr>
          <w:rFonts w:eastAsia="Calibri"/>
          <w:sz w:val="24"/>
          <w:szCs w:val="24"/>
        </w:rPr>
        <w:t>.  Key personnel must be available for the duration of the examination.</w:t>
      </w:r>
    </w:p>
    <w:p w14:paraId="01D6798F" w14:textId="77777777" w:rsidR="00E56CAC" w:rsidRPr="00E56CAC" w:rsidRDefault="00E56CAC" w:rsidP="00E56CAC">
      <w:pPr>
        <w:spacing w:after="120" w:line="360" w:lineRule="auto"/>
        <w:rPr>
          <w:rFonts w:eastAsia="Calibri"/>
          <w:b/>
          <w:sz w:val="24"/>
          <w:szCs w:val="24"/>
        </w:rPr>
      </w:pPr>
      <w:r w:rsidRPr="00E56CAC">
        <w:rPr>
          <w:rFonts w:eastAsia="Calibri"/>
          <w:b/>
          <w:sz w:val="24"/>
          <w:szCs w:val="24"/>
        </w:rPr>
        <w:t>After the Examination</w:t>
      </w:r>
    </w:p>
    <w:p w14:paraId="1C022317" w14:textId="77777777" w:rsidR="008B092F" w:rsidRDefault="00E56CAC" w:rsidP="0029418A">
      <w:pPr>
        <w:spacing w:after="120" w:line="360" w:lineRule="auto"/>
        <w:jc w:val="both"/>
        <w:rPr>
          <w:rFonts w:eastAsia="Calibri"/>
          <w:sz w:val="24"/>
          <w:szCs w:val="24"/>
        </w:rPr>
      </w:pPr>
      <w:r w:rsidRPr="00E56CAC">
        <w:rPr>
          <w:rFonts w:eastAsia="Calibri"/>
          <w:sz w:val="24"/>
          <w:szCs w:val="24"/>
        </w:rPr>
        <w:t xml:space="preserve">After the onsite portion of the examination is complete, the examiner may request </w:t>
      </w:r>
      <w:r w:rsidR="008B092F">
        <w:rPr>
          <w:rFonts w:eastAsia="Calibri"/>
          <w:sz w:val="24"/>
          <w:szCs w:val="24"/>
        </w:rPr>
        <w:t xml:space="preserve">additional </w:t>
      </w:r>
      <w:r w:rsidRPr="00E56CAC">
        <w:rPr>
          <w:rFonts w:eastAsia="Calibri"/>
          <w:sz w:val="24"/>
          <w:szCs w:val="24"/>
        </w:rPr>
        <w:t>documents or have fol</w:t>
      </w:r>
      <w:r w:rsidR="00F851AD">
        <w:rPr>
          <w:rFonts w:eastAsia="Calibri"/>
          <w:sz w:val="24"/>
          <w:szCs w:val="24"/>
        </w:rPr>
        <w:t>low up questions for the loan broker</w:t>
      </w:r>
      <w:r w:rsidRPr="00E56CAC">
        <w:rPr>
          <w:rFonts w:eastAsia="Calibri"/>
          <w:sz w:val="24"/>
          <w:szCs w:val="24"/>
        </w:rPr>
        <w:t xml:space="preserve">.  </w:t>
      </w:r>
      <w:r w:rsidR="008B092F">
        <w:rPr>
          <w:rFonts w:eastAsia="Calibri"/>
          <w:sz w:val="24"/>
          <w:szCs w:val="24"/>
        </w:rPr>
        <w:t>Once the examiner has reviewed all the necessary documents and all outstanding questions have been addressed, the e</w:t>
      </w:r>
      <w:r w:rsidR="00F851AD">
        <w:rPr>
          <w:rFonts w:eastAsia="Calibri"/>
          <w:sz w:val="24"/>
          <w:szCs w:val="24"/>
        </w:rPr>
        <w:t>xaminer will prepare a Report of the Examination for the Deputy Securities Commissioner</w:t>
      </w:r>
      <w:r w:rsidR="008B092F">
        <w:rPr>
          <w:rFonts w:eastAsia="Calibri"/>
          <w:sz w:val="24"/>
          <w:szCs w:val="24"/>
        </w:rPr>
        <w:t xml:space="preserve">.  </w:t>
      </w:r>
      <w:r w:rsidRPr="00E56CAC">
        <w:rPr>
          <w:rFonts w:eastAsia="Calibri"/>
          <w:sz w:val="24"/>
          <w:szCs w:val="24"/>
        </w:rPr>
        <w:t>There are three possible outcomes to an examination</w:t>
      </w:r>
      <w:r w:rsidR="008B092F">
        <w:rPr>
          <w:rFonts w:eastAsia="Calibri"/>
          <w:sz w:val="24"/>
          <w:szCs w:val="24"/>
        </w:rPr>
        <w:t xml:space="preserve">: (1) No </w:t>
      </w:r>
      <w:r w:rsidR="00F851AD">
        <w:rPr>
          <w:rFonts w:eastAsia="Calibri"/>
          <w:sz w:val="24"/>
          <w:szCs w:val="24"/>
        </w:rPr>
        <w:t xml:space="preserve">Further </w:t>
      </w:r>
      <w:r w:rsidR="008B092F">
        <w:rPr>
          <w:rFonts w:eastAsia="Calibri"/>
          <w:sz w:val="24"/>
          <w:szCs w:val="24"/>
        </w:rPr>
        <w:t>Action</w:t>
      </w:r>
      <w:r w:rsidR="00F851AD">
        <w:rPr>
          <w:rFonts w:eastAsia="Calibri"/>
          <w:sz w:val="24"/>
          <w:szCs w:val="24"/>
        </w:rPr>
        <w:t xml:space="preserve"> Necessary Letter; (2) Deficiency</w:t>
      </w:r>
      <w:r w:rsidR="008E0BCB">
        <w:rPr>
          <w:rFonts w:eastAsia="Calibri"/>
          <w:sz w:val="24"/>
          <w:szCs w:val="24"/>
        </w:rPr>
        <w:t xml:space="preserve"> Letter; or (3) referred to E</w:t>
      </w:r>
      <w:r w:rsidR="008B092F">
        <w:rPr>
          <w:rFonts w:eastAsia="Calibri"/>
          <w:sz w:val="24"/>
          <w:szCs w:val="24"/>
        </w:rPr>
        <w:t>nforcement</w:t>
      </w:r>
      <w:r w:rsidRPr="00E56CAC">
        <w:rPr>
          <w:rFonts w:eastAsia="Calibri"/>
          <w:sz w:val="24"/>
          <w:szCs w:val="24"/>
        </w:rPr>
        <w:t xml:space="preserve">.  A “No </w:t>
      </w:r>
      <w:r w:rsidR="008E0BCB">
        <w:rPr>
          <w:rFonts w:eastAsia="Calibri"/>
          <w:sz w:val="24"/>
          <w:szCs w:val="24"/>
        </w:rPr>
        <w:t xml:space="preserve">Further </w:t>
      </w:r>
      <w:r w:rsidRPr="00E56CAC">
        <w:rPr>
          <w:rFonts w:eastAsia="Calibri"/>
          <w:sz w:val="24"/>
          <w:szCs w:val="24"/>
        </w:rPr>
        <w:t xml:space="preserve">Action </w:t>
      </w:r>
      <w:r w:rsidR="008E0BCB">
        <w:rPr>
          <w:rFonts w:eastAsia="Calibri"/>
          <w:sz w:val="24"/>
          <w:szCs w:val="24"/>
        </w:rPr>
        <w:t xml:space="preserve">Necessary </w:t>
      </w:r>
      <w:r w:rsidRPr="00E56CAC">
        <w:rPr>
          <w:rFonts w:eastAsia="Calibri"/>
          <w:sz w:val="24"/>
          <w:szCs w:val="24"/>
        </w:rPr>
        <w:t>Letter</w:t>
      </w:r>
      <w:r w:rsidR="00F3221B">
        <w:rPr>
          <w:rFonts w:eastAsia="Calibri"/>
          <w:sz w:val="24"/>
          <w:szCs w:val="24"/>
        </w:rPr>
        <w:t>,</w:t>
      </w:r>
      <w:r w:rsidRPr="00E56CAC">
        <w:rPr>
          <w:rFonts w:eastAsia="Calibri"/>
          <w:sz w:val="24"/>
          <w:szCs w:val="24"/>
        </w:rPr>
        <w:t>”</w:t>
      </w:r>
      <w:r w:rsidR="008E0BCB">
        <w:rPr>
          <w:rFonts w:eastAsia="Calibri"/>
          <w:sz w:val="24"/>
          <w:szCs w:val="24"/>
        </w:rPr>
        <w:t xml:space="preserve"> </w:t>
      </w:r>
      <w:r w:rsidRPr="00E56CAC">
        <w:rPr>
          <w:rFonts w:eastAsia="Calibri"/>
          <w:sz w:val="24"/>
          <w:szCs w:val="24"/>
        </w:rPr>
        <w:t>re</w:t>
      </w:r>
      <w:r w:rsidR="008E0BCB">
        <w:rPr>
          <w:rFonts w:eastAsia="Calibri"/>
          <w:sz w:val="24"/>
          <w:szCs w:val="24"/>
        </w:rPr>
        <w:t xml:space="preserve">sults from no violations of </w:t>
      </w:r>
      <w:r w:rsidRPr="00E56CAC">
        <w:rPr>
          <w:rFonts w:eastAsia="Calibri"/>
          <w:sz w:val="24"/>
          <w:szCs w:val="24"/>
        </w:rPr>
        <w:t>Indiana Code</w:t>
      </w:r>
      <w:r w:rsidR="008E0BCB">
        <w:rPr>
          <w:rFonts w:eastAsia="Calibri"/>
          <w:sz w:val="24"/>
          <w:szCs w:val="24"/>
        </w:rPr>
        <w:t>, Indiana Ad</w:t>
      </w:r>
      <w:r w:rsidR="00DF57BB">
        <w:rPr>
          <w:rFonts w:eastAsia="Calibri"/>
          <w:sz w:val="24"/>
          <w:szCs w:val="24"/>
        </w:rPr>
        <w:t>ministrative Code, or supporting</w:t>
      </w:r>
      <w:r w:rsidR="008E0BCB">
        <w:rPr>
          <w:rFonts w:eastAsia="Calibri"/>
          <w:sz w:val="24"/>
          <w:szCs w:val="24"/>
        </w:rPr>
        <w:t xml:space="preserve"> Federal Regulations</w:t>
      </w:r>
      <w:r w:rsidR="00675B23">
        <w:rPr>
          <w:rFonts w:eastAsia="Calibri"/>
          <w:sz w:val="24"/>
          <w:szCs w:val="24"/>
        </w:rPr>
        <w:t>, and/or there were a couple minor issues that were remediated by the loan broker during the onsite portion of the exam</w:t>
      </w:r>
      <w:r w:rsidR="00DF57BB">
        <w:rPr>
          <w:rFonts w:eastAsia="Calibri"/>
          <w:sz w:val="24"/>
          <w:szCs w:val="24"/>
        </w:rPr>
        <w:t>.  At this point,</w:t>
      </w:r>
      <w:r w:rsidR="00675B23">
        <w:rPr>
          <w:rFonts w:eastAsia="Calibri"/>
          <w:sz w:val="24"/>
          <w:szCs w:val="24"/>
        </w:rPr>
        <w:t xml:space="preserve"> nothing further is needed from the loan broker.  A “Deficiency</w:t>
      </w:r>
      <w:r w:rsidRPr="00E56CAC">
        <w:rPr>
          <w:rFonts w:eastAsia="Calibri"/>
          <w:sz w:val="24"/>
          <w:szCs w:val="24"/>
        </w:rPr>
        <w:t xml:space="preserve"> Letter” will result if any </w:t>
      </w:r>
      <w:r w:rsidR="00DF57BB">
        <w:rPr>
          <w:rFonts w:eastAsia="Calibri"/>
          <w:sz w:val="24"/>
          <w:szCs w:val="24"/>
        </w:rPr>
        <w:t xml:space="preserve">deficiencies and/or violations of Indiana Code, Indiana Administrative Code, or supporting Federal </w:t>
      </w:r>
      <w:proofErr w:type="gramStart"/>
      <w:r w:rsidR="00DF57BB">
        <w:rPr>
          <w:rFonts w:eastAsia="Calibri"/>
          <w:sz w:val="24"/>
          <w:szCs w:val="24"/>
        </w:rPr>
        <w:t xml:space="preserve">Regulations </w:t>
      </w:r>
      <w:r w:rsidR="008B092F">
        <w:rPr>
          <w:rFonts w:eastAsia="Calibri"/>
          <w:sz w:val="24"/>
          <w:szCs w:val="24"/>
        </w:rPr>
        <w:t xml:space="preserve"> </w:t>
      </w:r>
      <w:r w:rsidR="00DF57BB">
        <w:rPr>
          <w:rFonts w:eastAsia="Calibri"/>
          <w:sz w:val="24"/>
          <w:szCs w:val="24"/>
        </w:rPr>
        <w:lastRenderedPageBreak/>
        <w:t>were</w:t>
      </w:r>
      <w:proofErr w:type="gramEnd"/>
      <w:r w:rsidRPr="00E56CAC">
        <w:rPr>
          <w:rFonts w:eastAsia="Calibri"/>
          <w:sz w:val="24"/>
          <w:szCs w:val="24"/>
        </w:rPr>
        <w:t xml:space="preserve"> </w:t>
      </w:r>
      <w:r w:rsidR="00594EE8">
        <w:rPr>
          <w:rFonts w:eastAsia="Calibri"/>
          <w:sz w:val="24"/>
          <w:szCs w:val="24"/>
        </w:rPr>
        <w:t>discovered</w:t>
      </w:r>
      <w:r w:rsidRPr="00E56CAC">
        <w:rPr>
          <w:rFonts w:eastAsia="Calibri"/>
          <w:sz w:val="24"/>
          <w:szCs w:val="24"/>
        </w:rPr>
        <w:t xml:space="preserve"> during </w:t>
      </w:r>
      <w:r w:rsidR="00DF57BB">
        <w:rPr>
          <w:rFonts w:eastAsia="Calibri"/>
          <w:sz w:val="24"/>
          <w:szCs w:val="24"/>
        </w:rPr>
        <w:t xml:space="preserve">any part </w:t>
      </w:r>
      <w:r w:rsidRPr="00E56CAC">
        <w:rPr>
          <w:rFonts w:eastAsia="Calibri"/>
          <w:sz w:val="24"/>
          <w:szCs w:val="24"/>
        </w:rPr>
        <w:t xml:space="preserve">the </w:t>
      </w:r>
      <w:r w:rsidR="00DF57BB">
        <w:rPr>
          <w:rFonts w:eastAsia="Calibri"/>
          <w:sz w:val="24"/>
          <w:szCs w:val="24"/>
        </w:rPr>
        <w:t xml:space="preserve">loan broker </w:t>
      </w:r>
      <w:r w:rsidRPr="00E56CAC">
        <w:rPr>
          <w:rFonts w:eastAsia="Calibri"/>
          <w:sz w:val="24"/>
          <w:szCs w:val="24"/>
        </w:rPr>
        <w:t>examination</w:t>
      </w:r>
      <w:r w:rsidR="00594EE8">
        <w:rPr>
          <w:rFonts w:eastAsia="Calibri"/>
          <w:sz w:val="24"/>
          <w:szCs w:val="24"/>
        </w:rPr>
        <w:t xml:space="preserve"> process</w:t>
      </w:r>
      <w:r w:rsidR="00DF57BB">
        <w:rPr>
          <w:rFonts w:eastAsia="Calibri"/>
          <w:sz w:val="24"/>
          <w:szCs w:val="24"/>
        </w:rPr>
        <w:t>.  The loan broker</w:t>
      </w:r>
      <w:r w:rsidRPr="00E56CAC">
        <w:rPr>
          <w:rFonts w:eastAsia="Calibri"/>
          <w:sz w:val="24"/>
          <w:szCs w:val="24"/>
        </w:rPr>
        <w:t xml:space="preserve"> will have a reasonable amount of time to</w:t>
      </w:r>
      <w:r w:rsidR="008B092F">
        <w:rPr>
          <w:rFonts w:eastAsia="Calibri"/>
          <w:sz w:val="24"/>
          <w:szCs w:val="24"/>
        </w:rPr>
        <w:t xml:space="preserve"> cure any deficiencies</w:t>
      </w:r>
      <w:r w:rsidR="00DF57BB">
        <w:rPr>
          <w:rFonts w:eastAsia="Calibri"/>
          <w:sz w:val="24"/>
          <w:szCs w:val="24"/>
        </w:rPr>
        <w:t xml:space="preserve"> and/or violations found by the examiner.  </w:t>
      </w:r>
      <w:r w:rsidRPr="00E56CAC">
        <w:rPr>
          <w:rFonts w:eastAsia="Calibri"/>
          <w:sz w:val="24"/>
          <w:szCs w:val="24"/>
        </w:rPr>
        <w:t>Once the</w:t>
      </w:r>
      <w:r w:rsidR="008B092F">
        <w:rPr>
          <w:rFonts w:eastAsia="Calibri"/>
          <w:sz w:val="24"/>
          <w:szCs w:val="24"/>
        </w:rPr>
        <w:t xml:space="preserve"> deficiencies</w:t>
      </w:r>
      <w:r w:rsidR="00DF57BB">
        <w:rPr>
          <w:rFonts w:eastAsia="Calibri"/>
          <w:sz w:val="24"/>
          <w:szCs w:val="24"/>
        </w:rPr>
        <w:t xml:space="preserve"> and/or violations have been remediated, the loan broker</w:t>
      </w:r>
      <w:r w:rsidRPr="00E56CAC">
        <w:rPr>
          <w:rFonts w:eastAsia="Calibri"/>
          <w:sz w:val="24"/>
          <w:szCs w:val="24"/>
        </w:rPr>
        <w:t xml:space="preserve"> </w:t>
      </w:r>
      <w:r w:rsidR="008B092F">
        <w:rPr>
          <w:rFonts w:eastAsia="Calibri"/>
          <w:sz w:val="24"/>
          <w:szCs w:val="24"/>
        </w:rPr>
        <w:t>must</w:t>
      </w:r>
      <w:r w:rsidRPr="00E56CAC">
        <w:rPr>
          <w:rFonts w:eastAsia="Calibri"/>
          <w:sz w:val="24"/>
          <w:szCs w:val="24"/>
        </w:rPr>
        <w:t xml:space="preserve"> notify the examiner</w:t>
      </w:r>
      <w:r w:rsidR="00DF57BB">
        <w:rPr>
          <w:rFonts w:eastAsia="Calibri"/>
          <w:sz w:val="24"/>
          <w:szCs w:val="24"/>
        </w:rPr>
        <w:t xml:space="preserve"> of such in writing</w:t>
      </w:r>
      <w:r w:rsidRPr="00E56CAC">
        <w:rPr>
          <w:rFonts w:eastAsia="Calibri"/>
          <w:sz w:val="24"/>
          <w:szCs w:val="24"/>
        </w:rPr>
        <w:t xml:space="preserve">.  Finally, more serious violations </w:t>
      </w:r>
      <w:r w:rsidR="007C41B5">
        <w:rPr>
          <w:rFonts w:eastAsia="Calibri"/>
          <w:sz w:val="24"/>
          <w:szCs w:val="24"/>
        </w:rPr>
        <w:t>or failure to remediate</w:t>
      </w:r>
      <w:r w:rsidR="008B092F">
        <w:rPr>
          <w:rFonts w:eastAsia="Calibri"/>
          <w:sz w:val="24"/>
          <w:szCs w:val="24"/>
        </w:rPr>
        <w:t xml:space="preserve"> any deficiencies</w:t>
      </w:r>
      <w:r w:rsidR="007C41B5">
        <w:rPr>
          <w:rFonts w:eastAsia="Calibri"/>
          <w:sz w:val="24"/>
          <w:szCs w:val="24"/>
        </w:rPr>
        <w:t xml:space="preserve"> and/or violations</w:t>
      </w:r>
      <w:r w:rsidR="008B092F">
        <w:rPr>
          <w:rFonts w:eastAsia="Calibri"/>
          <w:sz w:val="24"/>
          <w:szCs w:val="24"/>
        </w:rPr>
        <w:t xml:space="preserve"> </w:t>
      </w:r>
      <w:r w:rsidR="007C41B5">
        <w:rPr>
          <w:rFonts w:eastAsia="Calibri"/>
          <w:sz w:val="24"/>
          <w:szCs w:val="24"/>
        </w:rPr>
        <w:t>may be referred to E</w:t>
      </w:r>
      <w:r w:rsidRPr="00E56CAC">
        <w:rPr>
          <w:rFonts w:eastAsia="Calibri"/>
          <w:sz w:val="24"/>
          <w:szCs w:val="24"/>
        </w:rPr>
        <w:t xml:space="preserve">nforcement.  </w:t>
      </w:r>
    </w:p>
    <w:p w14:paraId="1908EF6B" w14:textId="77777777" w:rsidR="00E56CAC" w:rsidRPr="00E56CAC" w:rsidRDefault="00E56CAC" w:rsidP="0029418A">
      <w:pPr>
        <w:spacing w:after="120" w:line="360" w:lineRule="auto"/>
        <w:jc w:val="both"/>
        <w:rPr>
          <w:rFonts w:eastAsia="Calibri"/>
          <w:b/>
          <w:sz w:val="24"/>
          <w:szCs w:val="24"/>
        </w:rPr>
      </w:pPr>
      <w:r w:rsidRPr="00E56CAC">
        <w:rPr>
          <w:rFonts w:eastAsia="Calibri"/>
          <w:b/>
          <w:sz w:val="24"/>
          <w:szCs w:val="24"/>
        </w:rPr>
        <w:t>Non-compliance</w:t>
      </w:r>
    </w:p>
    <w:p w14:paraId="06D59FFC" w14:textId="77777777" w:rsidR="00E56CAC" w:rsidRDefault="00E56CAC" w:rsidP="0029418A">
      <w:pPr>
        <w:spacing w:after="120" w:line="360" w:lineRule="auto"/>
        <w:jc w:val="both"/>
        <w:rPr>
          <w:rFonts w:eastAsia="Calibri"/>
          <w:sz w:val="24"/>
          <w:szCs w:val="24"/>
        </w:rPr>
      </w:pPr>
      <w:r>
        <w:rPr>
          <w:rFonts w:eastAsia="Calibri"/>
          <w:sz w:val="24"/>
          <w:szCs w:val="24"/>
        </w:rPr>
        <w:t>Failure to be prepared for</w:t>
      </w:r>
      <w:r w:rsidR="007C41B5">
        <w:rPr>
          <w:rFonts w:eastAsia="Calibri"/>
          <w:sz w:val="24"/>
          <w:szCs w:val="24"/>
        </w:rPr>
        <w:t xml:space="preserve"> or to cooperate with the loan broker examination program, or</w:t>
      </w:r>
      <w:r>
        <w:rPr>
          <w:rFonts w:eastAsia="Calibri"/>
          <w:sz w:val="24"/>
          <w:szCs w:val="24"/>
        </w:rPr>
        <w:t xml:space="preserve"> failure to timely and satisfactorily res</w:t>
      </w:r>
      <w:r w:rsidR="007C41B5">
        <w:rPr>
          <w:rFonts w:eastAsia="Calibri"/>
          <w:sz w:val="24"/>
          <w:szCs w:val="24"/>
        </w:rPr>
        <w:t>pond to a Deficiency</w:t>
      </w:r>
      <w:r>
        <w:rPr>
          <w:rFonts w:eastAsia="Calibri"/>
          <w:sz w:val="24"/>
          <w:szCs w:val="24"/>
        </w:rPr>
        <w:t xml:space="preserve"> Letter, may result in </w:t>
      </w:r>
      <w:r w:rsidR="008B092F">
        <w:rPr>
          <w:rFonts w:eastAsia="Calibri"/>
          <w:sz w:val="24"/>
          <w:szCs w:val="24"/>
        </w:rPr>
        <w:t xml:space="preserve">an enforcement </w:t>
      </w:r>
      <w:r>
        <w:rPr>
          <w:rFonts w:eastAsia="Calibri"/>
          <w:sz w:val="24"/>
          <w:szCs w:val="24"/>
        </w:rPr>
        <w:t>action being take</w:t>
      </w:r>
      <w:r w:rsidR="007C41B5">
        <w:rPr>
          <w:rFonts w:eastAsia="Calibri"/>
          <w:sz w:val="24"/>
          <w:szCs w:val="24"/>
        </w:rPr>
        <w:t xml:space="preserve">n against the loan broker and/or the </w:t>
      </w:r>
      <w:r w:rsidR="000C7DBB">
        <w:rPr>
          <w:rFonts w:eastAsia="Calibri"/>
          <w:sz w:val="24"/>
          <w:szCs w:val="24"/>
        </w:rPr>
        <w:t xml:space="preserve">loan broker </w:t>
      </w:r>
      <w:r w:rsidR="007C41B5">
        <w:rPr>
          <w:rFonts w:eastAsia="Calibri"/>
          <w:sz w:val="24"/>
          <w:szCs w:val="24"/>
        </w:rPr>
        <w:t xml:space="preserve">Primary Contact listed on NMLS.  </w:t>
      </w:r>
    </w:p>
    <w:p w14:paraId="4C673E4B" w14:textId="77777777" w:rsidR="00B44055" w:rsidRDefault="00B44055" w:rsidP="00E56CAC">
      <w:pPr>
        <w:spacing w:after="120" w:line="360" w:lineRule="auto"/>
        <w:rPr>
          <w:rFonts w:eastAsia="Calibri"/>
          <w:b/>
          <w:sz w:val="24"/>
          <w:szCs w:val="24"/>
        </w:rPr>
      </w:pPr>
      <w:r>
        <w:rPr>
          <w:rFonts w:eastAsia="Calibri"/>
          <w:b/>
          <w:sz w:val="24"/>
          <w:szCs w:val="24"/>
        </w:rPr>
        <w:t>Common Issues</w:t>
      </w:r>
    </w:p>
    <w:p w14:paraId="2FCDA27B" w14:textId="77777777" w:rsidR="00B44055" w:rsidRDefault="00A82132" w:rsidP="00E56CAC">
      <w:pPr>
        <w:spacing w:after="120" w:line="360" w:lineRule="auto"/>
        <w:rPr>
          <w:rFonts w:eastAsia="Calibri"/>
          <w:sz w:val="24"/>
          <w:szCs w:val="24"/>
        </w:rPr>
      </w:pPr>
      <w:r>
        <w:rPr>
          <w:rFonts w:eastAsia="Calibri"/>
          <w:sz w:val="24"/>
          <w:szCs w:val="24"/>
        </w:rPr>
        <w:t>These ar</w:t>
      </w:r>
      <w:r w:rsidR="000C7DBB">
        <w:rPr>
          <w:rFonts w:eastAsia="Calibri"/>
          <w:sz w:val="24"/>
          <w:szCs w:val="24"/>
        </w:rPr>
        <w:t>e some of the most common deficiencies and/or violations</w:t>
      </w:r>
      <w:r>
        <w:rPr>
          <w:rFonts w:eastAsia="Calibri"/>
          <w:sz w:val="24"/>
          <w:szCs w:val="24"/>
        </w:rPr>
        <w:t xml:space="preserve"> found during examinations:</w:t>
      </w:r>
    </w:p>
    <w:p w14:paraId="7EDF1D59" w14:textId="77777777" w:rsidR="00A82132" w:rsidRDefault="000C7DBB" w:rsidP="00F02E95">
      <w:pPr>
        <w:pStyle w:val="ListParagraph"/>
        <w:numPr>
          <w:ilvl w:val="0"/>
          <w:numId w:val="4"/>
        </w:numPr>
        <w:spacing w:after="120" w:line="360" w:lineRule="auto"/>
        <w:rPr>
          <w:rFonts w:eastAsia="Calibri"/>
          <w:sz w:val="24"/>
          <w:szCs w:val="24"/>
        </w:rPr>
      </w:pPr>
      <w:r>
        <w:rPr>
          <w:rFonts w:eastAsia="Calibri"/>
          <w:b/>
          <w:sz w:val="24"/>
          <w:szCs w:val="24"/>
        </w:rPr>
        <w:t>Loan Broker Agreement</w:t>
      </w:r>
      <w:r w:rsidR="00F02E95">
        <w:rPr>
          <w:rFonts w:eastAsia="Calibri"/>
          <w:b/>
          <w:sz w:val="24"/>
          <w:szCs w:val="24"/>
        </w:rPr>
        <w:t xml:space="preserve">.  </w:t>
      </w:r>
      <w:r w:rsidR="00F9759C">
        <w:rPr>
          <w:rFonts w:eastAsia="Calibri"/>
          <w:sz w:val="24"/>
          <w:szCs w:val="24"/>
        </w:rPr>
        <w:t xml:space="preserve">No </w:t>
      </w:r>
      <w:r>
        <w:rPr>
          <w:rFonts w:eastAsia="Calibri"/>
          <w:sz w:val="24"/>
          <w:szCs w:val="24"/>
        </w:rPr>
        <w:t>lo</w:t>
      </w:r>
      <w:r w:rsidR="00F9759C">
        <w:rPr>
          <w:rFonts w:eastAsia="Calibri"/>
          <w:sz w:val="24"/>
          <w:szCs w:val="24"/>
        </w:rPr>
        <w:t>an broker agreement in the file; the wrong loan broker agreement; the loan broker agreement not signed by the borrower(s) within 3 days of the application date</w:t>
      </w:r>
      <w:r w:rsidR="00F02E95">
        <w:rPr>
          <w:rFonts w:eastAsia="Calibri"/>
          <w:sz w:val="24"/>
          <w:szCs w:val="24"/>
        </w:rPr>
        <w:t>.</w:t>
      </w:r>
    </w:p>
    <w:p w14:paraId="5075E946" w14:textId="77777777" w:rsidR="00F02E95"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Loan Note</w:t>
      </w:r>
      <w:r w:rsidR="00F02E95">
        <w:rPr>
          <w:rFonts w:eastAsia="Calibri"/>
          <w:b/>
          <w:sz w:val="24"/>
          <w:szCs w:val="24"/>
        </w:rPr>
        <w:t xml:space="preserve">.  </w:t>
      </w:r>
      <w:r>
        <w:rPr>
          <w:rFonts w:eastAsia="Calibri"/>
          <w:sz w:val="24"/>
          <w:szCs w:val="24"/>
        </w:rPr>
        <w:t>If the loan closed, no Loan Note in the file.</w:t>
      </w:r>
    </w:p>
    <w:p w14:paraId="56830BB4" w14:textId="77777777" w:rsidR="009A5E84"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Rate-Lock Agreement</w:t>
      </w:r>
      <w:r w:rsidR="00BB3F45">
        <w:rPr>
          <w:rFonts w:eastAsia="Calibri"/>
          <w:b/>
          <w:sz w:val="24"/>
          <w:szCs w:val="24"/>
        </w:rPr>
        <w:t xml:space="preserve">.  </w:t>
      </w:r>
      <w:r>
        <w:rPr>
          <w:rFonts w:eastAsia="Calibri"/>
          <w:sz w:val="24"/>
          <w:szCs w:val="24"/>
        </w:rPr>
        <w:t>Lack of a written rate-lock agreement or other confirmation signed by the borrower acknowledging giving the loan broker authority to lock the rate.</w:t>
      </w:r>
    </w:p>
    <w:p w14:paraId="7C64DA18" w14:textId="77777777" w:rsidR="00BB3F45" w:rsidRDefault="00CE179C" w:rsidP="00F02E95">
      <w:pPr>
        <w:pStyle w:val="ListParagraph"/>
        <w:numPr>
          <w:ilvl w:val="0"/>
          <w:numId w:val="4"/>
        </w:numPr>
        <w:spacing w:after="120" w:line="360" w:lineRule="auto"/>
        <w:rPr>
          <w:rFonts w:eastAsia="Calibri"/>
          <w:sz w:val="24"/>
          <w:szCs w:val="24"/>
        </w:rPr>
      </w:pPr>
      <w:r>
        <w:rPr>
          <w:rFonts w:eastAsia="Calibri"/>
          <w:b/>
          <w:sz w:val="24"/>
          <w:szCs w:val="24"/>
        </w:rPr>
        <w:t>Other Miscellaneous Disclosures</w:t>
      </w:r>
      <w:r w:rsidR="00407572">
        <w:rPr>
          <w:rFonts w:eastAsia="Calibri"/>
          <w:b/>
          <w:sz w:val="24"/>
          <w:szCs w:val="24"/>
        </w:rPr>
        <w:t xml:space="preserve">.  </w:t>
      </w:r>
      <w:r>
        <w:rPr>
          <w:rFonts w:eastAsia="Calibri"/>
          <w:sz w:val="24"/>
          <w:szCs w:val="24"/>
        </w:rPr>
        <w:t xml:space="preserve">File lacks required borrower disclosures, or disclosures </w:t>
      </w:r>
      <w:r w:rsidR="009450AD">
        <w:rPr>
          <w:rFonts w:eastAsia="Calibri"/>
          <w:sz w:val="24"/>
          <w:szCs w:val="24"/>
        </w:rPr>
        <w:t>not signed by the borrower.  Examples include:</w:t>
      </w:r>
      <w:r>
        <w:rPr>
          <w:rFonts w:eastAsia="Calibri"/>
          <w:sz w:val="24"/>
          <w:szCs w:val="24"/>
        </w:rPr>
        <w:t xml:space="preserve"> </w:t>
      </w:r>
      <w:r w:rsidR="009450AD">
        <w:rPr>
          <w:rFonts w:eastAsia="Calibri"/>
          <w:sz w:val="24"/>
          <w:szCs w:val="24"/>
        </w:rPr>
        <w:t xml:space="preserve">subsequent LE(s), initial CD, Affiliated Business Arrangement Disclosure, Servicing Transfer Disclosure, the Appraisal, record of all fees assessed to or collected from the borrower. </w:t>
      </w:r>
    </w:p>
    <w:p w14:paraId="440FC587" w14:textId="77777777" w:rsidR="00B238E1" w:rsidRPr="009D59FB" w:rsidRDefault="00407572" w:rsidP="009D59FB">
      <w:pPr>
        <w:pStyle w:val="ListParagraph"/>
        <w:numPr>
          <w:ilvl w:val="0"/>
          <w:numId w:val="4"/>
        </w:numPr>
        <w:spacing w:after="120" w:line="360" w:lineRule="auto"/>
        <w:rPr>
          <w:rFonts w:eastAsia="Calibri"/>
          <w:sz w:val="24"/>
          <w:szCs w:val="24"/>
        </w:rPr>
      </w:pPr>
      <w:r>
        <w:rPr>
          <w:rFonts w:eastAsia="Calibri"/>
          <w:b/>
          <w:sz w:val="24"/>
          <w:szCs w:val="24"/>
        </w:rPr>
        <w:t xml:space="preserve">Compliance </w:t>
      </w:r>
      <w:r w:rsidR="009450AD">
        <w:rPr>
          <w:rFonts w:eastAsia="Calibri"/>
          <w:b/>
          <w:sz w:val="24"/>
          <w:szCs w:val="24"/>
        </w:rPr>
        <w:t>Program</w:t>
      </w:r>
      <w:r>
        <w:rPr>
          <w:rFonts w:eastAsia="Calibri"/>
          <w:b/>
          <w:sz w:val="24"/>
          <w:szCs w:val="24"/>
        </w:rPr>
        <w:t>.</w:t>
      </w:r>
      <w:r>
        <w:rPr>
          <w:rFonts w:eastAsia="Calibri"/>
          <w:sz w:val="24"/>
          <w:szCs w:val="24"/>
        </w:rPr>
        <w:t xml:space="preserve">  </w:t>
      </w:r>
      <w:r w:rsidR="009450AD">
        <w:rPr>
          <w:rFonts w:eastAsia="Calibri"/>
          <w:sz w:val="24"/>
          <w:szCs w:val="24"/>
        </w:rPr>
        <w:t>Lack of or incomplete written Compliance Program/Manual</w:t>
      </w:r>
      <w:r>
        <w:rPr>
          <w:rFonts w:eastAsia="Calibri"/>
          <w:sz w:val="24"/>
          <w:szCs w:val="24"/>
        </w:rPr>
        <w:t xml:space="preserve">.  </w:t>
      </w:r>
      <w:r w:rsidR="009450AD">
        <w:rPr>
          <w:rFonts w:eastAsia="Calibri"/>
          <w:sz w:val="24"/>
          <w:szCs w:val="24"/>
        </w:rPr>
        <w:t xml:space="preserve">Minimum requirements include Quality Control, </w:t>
      </w:r>
      <w:r w:rsidR="009D59FB">
        <w:rPr>
          <w:rFonts w:eastAsia="Calibri"/>
          <w:sz w:val="24"/>
          <w:szCs w:val="24"/>
        </w:rPr>
        <w:t xml:space="preserve">Red Flags, Handling Customer Complaints, File maintenance and storage, and Cybersecurity.  </w:t>
      </w:r>
      <w:r>
        <w:rPr>
          <w:rFonts w:eastAsia="Calibri"/>
          <w:sz w:val="24"/>
          <w:szCs w:val="24"/>
        </w:rPr>
        <w:t xml:space="preserve">The purchase of “off the shelf” compliance manuals is acceptable so long as the manual is </w:t>
      </w:r>
      <w:r w:rsidR="009D59FB">
        <w:rPr>
          <w:rFonts w:eastAsia="Calibri"/>
          <w:sz w:val="24"/>
          <w:szCs w:val="24"/>
        </w:rPr>
        <w:t xml:space="preserve">regularly </w:t>
      </w:r>
      <w:r>
        <w:rPr>
          <w:rFonts w:eastAsia="Calibri"/>
          <w:sz w:val="24"/>
          <w:szCs w:val="24"/>
        </w:rPr>
        <w:t>reviewed and amended to reflect the policies and procedures of the firm.</w:t>
      </w:r>
      <w:r w:rsidR="009450AD">
        <w:rPr>
          <w:rFonts w:eastAsia="Calibri"/>
          <w:sz w:val="24"/>
          <w:szCs w:val="24"/>
        </w:rPr>
        <w:t xml:space="preserve">  </w:t>
      </w:r>
    </w:p>
    <w:sectPr w:rsidR="00B238E1" w:rsidRPr="009D59FB" w:rsidSect="007569DC">
      <w:headerReference w:type="default" r:id="rId7"/>
      <w:footerReference w:type="default" r:id="rId8"/>
      <w:pgSz w:w="12240" w:h="15840" w:code="1"/>
      <w:pgMar w:top="2160" w:right="990" w:bottom="1440" w:left="144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1503" w14:textId="77777777" w:rsidR="00464ED7" w:rsidRDefault="00464ED7">
      <w:r>
        <w:separator/>
      </w:r>
    </w:p>
  </w:endnote>
  <w:endnote w:type="continuationSeparator" w:id="0">
    <w:p w14:paraId="5EDDCAE0" w14:textId="77777777" w:rsidR="00464ED7" w:rsidRDefault="0046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715D" w14:textId="77777777" w:rsidR="007569DC" w:rsidRDefault="007569DC" w:rsidP="007569DC">
    <w:pPr>
      <w:pStyle w:val="Footer"/>
      <w:rPr>
        <w:b/>
        <w:sz w:val="22"/>
      </w:rPr>
    </w:pPr>
    <w:r>
      <w:rPr>
        <w:b/>
        <w:sz w:val="22"/>
      </w:rPr>
      <w:tab/>
      <w:t xml:space="preserve">Indiana </w:t>
    </w:r>
    <w:r w:rsidR="005104E1">
      <w:rPr>
        <w:b/>
        <w:sz w:val="22"/>
      </w:rPr>
      <w:t>Government Center</w:t>
    </w:r>
    <w:r>
      <w:rPr>
        <w:b/>
        <w:sz w:val="22"/>
      </w:rPr>
      <w:t xml:space="preserve"> South, E-111  </w:t>
    </w:r>
  </w:p>
  <w:p w14:paraId="544ECDB5" w14:textId="77777777" w:rsidR="007569DC" w:rsidRDefault="007569DC" w:rsidP="007569DC">
    <w:pPr>
      <w:pStyle w:val="Footer"/>
      <w:rPr>
        <w:b/>
        <w:sz w:val="22"/>
      </w:rPr>
    </w:pPr>
    <w:r>
      <w:rPr>
        <w:b/>
        <w:sz w:val="22"/>
      </w:rPr>
      <w:tab/>
      <w:t xml:space="preserve">Indianapolis, </w:t>
    </w:r>
    <w:r w:rsidR="005104E1">
      <w:rPr>
        <w:b/>
        <w:sz w:val="22"/>
      </w:rPr>
      <w:t xml:space="preserve">Indiana  46204  </w:t>
    </w:r>
  </w:p>
  <w:p w14:paraId="6E36792F" w14:textId="77777777" w:rsidR="005104E1" w:rsidRDefault="007569DC" w:rsidP="007569DC">
    <w:pPr>
      <w:pStyle w:val="Footer"/>
      <w:rPr>
        <w:b/>
        <w:sz w:val="22"/>
      </w:rPr>
    </w:pPr>
    <w:r>
      <w:rPr>
        <w:b/>
        <w:sz w:val="22"/>
      </w:rPr>
      <w:tab/>
    </w:r>
    <w:r w:rsidR="005104E1">
      <w:rPr>
        <w:b/>
        <w:sz w:val="22"/>
      </w:rPr>
      <w:t>(317) 232-6681,  Fax (317) 233-3675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2C83" w14:textId="77777777" w:rsidR="00464ED7" w:rsidRDefault="00464ED7">
      <w:r>
        <w:separator/>
      </w:r>
    </w:p>
  </w:footnote>
  <w:footnote w:type="continuationSeparator" w:id="0">
    <w:p w14:paraId="5CB5E5EA" w14:textId="77777777" w:rsidR="00464ED7" w:rsidRDefault="0046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98" w:type="dxa"/>
      <w:tblInd w:w="-810" w:type="dxa"/>
      <w:tblLayout w:type="fixed"/>
      <w:tblLook w:val="0000" w:firstRow="0" w:lastRow="0" w:firstColumn="0" w:lastColumn="0" w:noHBand="0" w:noVBand="0"/>
    </w:tblPr>
    <w:tblGrid>
      <w:gridCol w:w="2358"/>
      <w:gridCol w:w="6390"/>
      <w:gridCol w:w="2250"/>
    </w:tblGrid>
    <w:tr w:rsidR="005104E1" w14:paraId="0DF01277" w14:textId="77777777" w:rsidTr="00E373CD">
      <w:tc>
        <w:tcPr>
          <w:tcW w:w="2358" w:type="dxa"/>
        </w:tcPr>
        <w:p w14:paraId="78AC9A6C" w14:textId="77777777" w:rsidR="005104E1" w:rsidRDefault="00DE2CDA">
          <w:pPr>
            <w:jc w:val="center"/>
          </w:pPr>
          <w:r>
            <w:rPr>
              <w:noProof/>
            </w:rPr>
            <w:drawing>
              <wp:inline distT="0" distB="0" distL="0" distR="0" wp14:anchorId="3C4D8A27" wp14:editId="05B9E133">
                <wp:extent cx="959485" cy="953135"/>
                <wp:effectExtent l="1905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1"/>
                        <a:srcRect/>
                        <a:stretch>
                          <a:fillRect/>
                        </a:stretch>
                      </pic:blipFill>
                      <pic:spPr bwMode="auto">
                        <a:xfrm>
                          <a:off x="0" y="0"/>
                          <a:ext cx="959485" cy="953135"/>
                        </a:xfrm>
                        <a:prstGeom prst="rect">
                          <a:avLst/>
                        </a:prstGeom>
                        <a:noFill/>
                        <a:ln w="9525">
                          <a:noFill/>
                          <a:miter lim="800000"/>
                          <a:headEnd/>
                          <a:tailEnd/>
                        </a:ln>
                      </pic:spPr>
                    </pic:pic>
                  </a:graphicData>
                </a:graphic>
              </wp:inline>
            </w:drawing>
          </w:r>
        </w:p>
      </w:tc>
      <w:tc>
        <w:tcPr>
          <w:tcW w:w="6390" w:type="dxa"/>
        </w:tcPr>
        <w:p w14:paraId="10AD1DC5" w14:textId="77777777" w:rsidR="005104E1" w:rsidRDefault="005104E1">
          <w:pPr>
            <w:pStyle w:val="Heading1"/>
            <w:rPr>
              <w:sz w:val="52"/>
            </w:rPr>
          </w:pPr>
          <w:r>
            <w:rPr>
              <w:sz w:val="52"/>
            </w:rPr>
            <w:t>Secretary of State</w:t>
          </w:r>
        </w:p>
        <w:p w14:paraId="5C5BBDD8" w14:textId="77777777" w:rsidR="005104E1" w:rsidRDefault="005104E1">
          <w:pPr>
            <w:pStyle w:val="Heading2"/>
            <w:rPr>
              <w:sz w:val="44"/>
            </w:rPr>
          </w:pPr>
          <w:r>
            <w:rPr>
              <w:sz w:val="44"/>
            </w:rPr>
            <w:t xml:space="preserve">State of </w:t>
          </w:r>
          <w:smartTag w:uri="urn:schemas-microsoft-com:office:smarttags" w:element="place">
            <w:smartTag w:uri="urn:schemas-microsoft-com:office:smarttags" w:element="State">
              <w:r>
                <w:rPr>
                  <w:sz w:val="44"/>
                </w:rPr>
                <w:t>Indiana</w:t>
              </w:r>
            </w:smartTag>
          </w:smartTag>
        </w:p>
        <w:p w14:paraId="468EF8E9" w14:textId="77777777" w:rsidR="005104E1" w:rsidRDefault="005104E1">
          <w:pPr>
            <w:pStyle w:val="Heading5"/>
            <w:rPr>
              <w:b/>
              <w:sz w:val="32"/>
            </w:rPr>
          </w:pPr>
          <w:r>
            <w:rPr>
              <w:b/>
              <w:sz w:val="32"/>
            </w:rPr>
            <w:t>Securities Division</w:t>
          </w:r>
        </w:p>
      </w:tc>
      <w:tc>
        <w:tcPr>
          <w:tcW w:w="2250" w:type="dxa"/>
        </w:tcPr>
        <w:p w14:paraId="75EFDCA1" w14:textId="77777777" w:rsidR="005104E1" w:rsidRDefault="005104E1">
          <w:pPr>
            <w:ind w:left="-108"/>
          </w:pPr>
        </w:p>
      </w:tc>
    </w:tr>
    <w:tr w:rsidR="005104E1" w14:paraId="1B6AA99E" w14:textId="77777777" w:rsidTr="00E373CD">
      <w:tc>
        <w:tcPr>
          <w:tcW w:w="2358" w:type="dxa"/>
        </w:tcPr>
        <w:p w14:paraId="4E010A04" w14:textId="5373B895" w:rsidR="005104E1" w:rsidRDefault="00047268">
          <w:pPr>
            <w:pStyle w:val="Heading1"/>
            <w:rPr>
              <w:sz w:val="22"/>
            </w:rPr>
          </w:pPr>
          <w:r w:rsidRPr="00047268">
            <w:rPr>
              <w:sz w:val="22"/>
            </w:rPr>
            <w:t>DIEGO MORALES</w:t>
          </w:r>
        </w:p>
      </w:tc>
      <w:tc>
        <w:tcPr>
          <w:tcW w:w="6390" w:type="dxa"/>
        </w:tcPr>
        <w:p w14:paraId="18EA0A6E" w14:textId="77777777" w:rsidR="005104E1" w:rsidRDefault="005104E1"/>
      </w:tc>
      <w:tc>
        <w:tcPr>
          <w:tcW w:w="2250" w:type="dxa"/>
        </w:tcPr>
        <w:p w14:paraId="659EE2AB" w14:textId="6AFC222C" w:rsidR="005104E1" w:rsidRDefault="00047268">
          <w:pPr>
            <w:pStyle w:val="Heading4"/>
          </w:pPr>
          <w:r>
            <w:t>Marie Castetter</w:t>
          </w:r>
        </w:p>
      </w:tc>
    </w:tr>
    <w:tr w:rsidR="005104E1" w14:paraId="6932362C" w14:textId="77777777" w:rsidTr="00E373CD">
      <w:tc>
        <w:tcPr>
          <w:tcW w:w="2358" w:type="dxa"/>
        </w:tcPr>
        <w:p w14:paraId="65F9D0A9" w14:textId="77777777" w:rsidR="005104E1" w:rsidRDefault="005104E1">
          <w:pPr>
            <w:jc w:val="center"/>
            <w:rPr>
              <w:b/>
            </w:rPr>
          </w:pPr>
          <w:r>
            <w:rPr>
              <w:b/>
            </w:rPr>
            <w:t>Secretary of State</w:t>
          </w:r>
        </w:p>
      </w:tc>
      <w:tc>
        <w:tcPr>
          <w:tcW w:w="6390" w:type="dxa"/>
        </w:tcPr>
        <w:p w14:paraId="3BC6E16D" w14:textId="77777777" w:rsidR="005104E1" w:rsidRDefault="005104E1">
          <w:pPr>
            <w:pStyle w:val="Heading3"/>
          </w:pPr>
        </w:p>
      </w:tc>
      <w:tc>
        <w:tcPr>
          <w:tcW w:w="2250" w:type="dxa"/>
        </w:tcPr>
        <w:p w14:paraId="57C2DA01" w14:textId="77777777" w:rsidR="005104E1" w:rsidRDefault="005104E1">
          <w:pPr>
            <w:ind w:left="-108"/>
            <w:jc w:val="center"/>
            <w:rPr>
              <w:b/>
            </w:rPr>
          </w:pPr>
          <w:r>
            <w:rPr>
              <w:b/>
            </w:rPr>
            <w:t>Securities Commissioner</w:t>
          </w:r>
        </w:p>
      </w:tc>
    </w:tr>
  </w:tbl>
  <w:p w14:paraId="46551FB5" w14:textId="77777777" w:rsidR="005104E1" w:rsidRDefault="005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6F76"/>
    <w:multiLevelType w:val="hybridMultilevel"/>
    <w:tmpl w:val="B0FAD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445F9"/>
    <w:multiLevelType w:val="hybridMultilevel"/>
    <w:tmpl w:val="6E88EF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D9336D"/>
    <w:multiLevelType w:val="hybridMultilevel"/>
    <w:tmpl w:val="28CA4DE0"/>
    <w:lvl w:ilvl="0" w:tplc="91EC74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912D0D"/>
    <w:multiLevelType w:val="hybridMultilevel"/>
    <w:tmpl w:val="15C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26435">
    <w:abstractNumId w:val="1"/>
  </w:num>
  <w:num w:numId="2" w16cid:durableId="360283348">
    <w:abstractNumId w:val="2"/>
  </w:num>
  <w:num w:numId="3" w16cid:durableId="575675010">
    <w:abstractNumId w:val="3"/>
  </w:num>
  <w:num w:numId="4" w16cid:durableId="165059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BB"/>
    <w:rsid w:val="00047268"/>
    <w:rsid w:val="00060D4D"/>
    <w:rsid w:val="000A73FD"/>
    <w:rsid w:val="000B2EBB"/>
    <w:rsid w:val="000C7DBB"/>
    <w:rsid w:val="000F3747"/>
    <w:rsid w:val="00196BD9"/>
    <w:rsid w:val="001B5298"/>
    <w:rsid w:val="001C4C74"/>
    <w:rsid w:val="001D4E6F"/>
    <w:rsid w:val="001D6D13"/>
    <w:rsid w:val="002032D6"/>
    <w:rsid w:val="00206EF5"/>
    <w:rsid w:val="0021337C"/>
    <w:rsid w:val="00233CBC"/>
    <w:rsid w:val="0029418A"/>
    <w:rsid w:val="002A164A"/>
    <w:rsid w:val="002B24BA"/>
    <w:rsid w:val="00301F45"/>
    <w:rsid w:val="0035291D"/>
    <w:rsid w:val="00380E3B"/>
    <w:rsid w:val="003D1540"/>
    <w:rsid w:val="00407572"/>
    <w:rsid w:val="004320A2"/>
    <w:rsid w:val="004512F8"/>
    <w:rsid w:val="00464ED7"/>
    <w:rsid w:val="00490EE2"/>
    <w:rsid w:val="004E4EFE"/>
    <w:rsid w:val="004F6279"/>
    <w:rsid w:val="005104E1"/>
    <w:rsid w:val="00542679"/>
    <w:rsid w:val="00571AF5"/>
    <w:rsid w:val="00594EE8"/>
    <w:rsid w:val="005A22B2"/>
    <w:rsid w:val="005E15AD"/>
    <w:rsid w:val="005F58F2"/>
    <w:rsid w:val="006043CC"/>
    <w:rsid w:val="00604710"/>
    <w:rsid w:val="006100B1"/>
    <w:rsid w:val="006320A6"/>
    <w:rsid w:val="00653442"/>
    <w:rsid w:val="00675B23"/>
    <w:rsid w:val="00687492"/>
    <w:rsid w:val="006A5861"/>
    <w:rsid w:val="006C6567"/>
    <w:rsid w:val="006E50AB"/>
    <w:rsid w:val="007118CF"/>
    <w:rsid w:val="00732713"/>
    <w:rsid w:val="007473B0"/>
    <w:rsid w:val="007569DC"/>
    <w:rsid w:val="007710F4"/>
    <w:rsid w:val="0079723A"/>
    <w:rsid w:val="007C41B5"/>
    <w:rsid w:val="007D467B"/>
    <w:rsid w:val="00817924"/>
    <w:rsid w:val="00847876"/>
    <w:rsid w:val="008938BB"/>
    <w:rsid w:val="008B092F"/>
    <w:rsid w:val="008D7C06"/>
    <w:rsid w:val="008E089F"/>
    <w:rsid w:val="008E0BCB"/>
    <w:rsid w:val="008F6771"/>
    <w:rsid w:val="009450AD"/>
    <w:rsid w:val="00996B9E"/>
    <w:rsid w:val="009A5E84"/>
    <w:rsid w:val="009B0F46"/>
    <w:rsid w:val="009C4B66"/>
    <w:rsid w:val="009D59FB"/>
    <w:rsid w:val="009F7D3A"/>
    <w:rsid w:val="00A027C0"/>
    <w:rsid w:val="00A04C7C"/>
    <w:rsid w:val="00A7736C"/>
    <w:rsid w:val="00A82132"/>
    <w:rsid w:val="00A93BF7"/>
    <w:rsid w:val="00AA69B0"/>
    <w:rsid w:val="00AC656D"/>
    <w:rsid w:val="00AF595D"/>
    <w:rsid w:val="00B238E1"/>
    <w:rsid w:val="00B44055"/>
    <w:rsid w:val="00BA6BB2"/>
    <w:rsid w:val="00BB3F45"/>
    <w:rsid w:val="00BB7C85"/>
    <w:rsid w:val="00BF2C15"/>
    <w:rsid w:val="00C04872"/>
    <w:rsid w:val="00C179FE"/>
    <w:rsid w:val="00C450FA"/>
    <w:rsid w:val="00C86778"/>
    <w:rsid w:val="00C92265"/>
    <w:rsid w:val="00CA7342"/>
    <w:rsid w:val="00CE179C"/>
    <w:rsid w:val="00CE48CE"/>
    <w:rsid w:val="00D4783A"/>
    <w:rsid w:val="00D702F3"/>
    <w:rsid w:val="00D74BEB"/>
    <w:rsid w:val="00DE2CDA"/>
    <w:rsid w:val="00DF57BB"/>
    <w:rsid w:val="00E373CD"/>
    <w:rsid w:val="00E56CAC"/>
    <w:rsid w:val="00E9398D"/>
    <w:rsid w:val="00ED681A"/>
    <w:rsid w:val="00EF4A83"/>
    <w:rsid w:val="00EF61DC"/>
    <w:rsid w:val="00F02E95"/>
    <w:rsid w:val="00F03932"/>
    <w:rsid w:val="00F057DF"/>
    <w:rsid w:val="00F252AA"/>
    <w:rsid w:val="00F25779"/>
    <w:rsid w:val="00F3221B"/>
    <w:rsid w:val="00F57270"/>
    <w:rsid w:val="00F63601"/>
    <w:rsid w:val="00F64621"/>
    <w:rsid w:val="00F851AD"/>
    <w:rsid w:val="00F9759C"/>
    <w:rsid w:val="00FE64DA"/>
    <w:rsid w:val="00FF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E284934"/>
  <w15:docId w15:val="{B36EE5F2-CAE9-4DA4-B7F0-BB3C7316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ind w:left="-108"/>
      <w:jc w:val="center"/>
      <w:outlineLvl w:val="3"/>
    </w:pPr>
    <w:rPr>
      <w:b/>
      <w:sz w:val="22"/>
    </w:rPr>
  </w:style>
  <w:style w:type="paragraph" w:styleId="Heading5">
    <w:name w:val="heading 5"/>
    <w:basedOn w:val="Normal"/>
    <w:next w:val="Normal"/>
    <w:qFormat/>
    <w:pPr>
      <w:keepNext/>
      <w:jc w:val="center"/>
      <w:outlineLvl w:val="4"/>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043CC"/>
    <w:rPr>
      <w:rFonts w:ascii="Tahoma" w:hAnsi="Tahoma" w:cs="Tahoma"/>
      <w:sz w:val="16"/>
      <w:szCs w:val="16"/>
    </w:rPr>
  </w:style>
  <w:style w:type="character" w:styleId="Hyperlink">
    <w:name w:val="Hyperlink"/>
    <w:basedOn w:val="DefaultParagraphFont"/>
    <w:rsid w:val="00C179FE"/>
    <w:rPr>
      <w:color w:val="0000FF"/>
      <w:u w:val="single"/>
    </w:rPr>
  </w:style>
  <w:style w:type="paragraph" w:styleId="NormalWeb">
    <w:name w:val="Normal (Web)"/>
    <w:basedOn w:val="Normal"/>
    <w:rsid w:val="00C179FE"/>
    <w:pPr>
      <w:spacing w:before="100" w:beforeAutospacing="1" w:after="100" w:afterAutospacing="1"/>
    </w:pPr>
    <w:rPr>
      <w:sz w:val="24"/>
      <w:szCs w:val="24"/>
    </w:rPr>
  </w:style>
  <w:style w:type="character" w:customStyle="1" w:styleId="EmailStyle20">
    <w:name w:val="EmailStyle20"/>
    <w:basedOn w:val="DefaultParagraphFont"/>
    <w:semiHidden/>
    <w:rsid w:val="00C179FE"/>
    <w:rPr>
      <w:rFonts w:ascii="Arial" w:hAnsi="Arial" w:cs="Arial"/>
      <w:color w:val="auto"/>
      <w:sz w:val="20"/>
      <w:szCs w:val="20"/>
    </w:rPr>
  </w:style>
  <w:style w:type="paragraph" w:styleId="ListParagraph">
    <w:name w:val="List Paragraph"/>
    <w:basedOn w:val="Normal"/>
    <w:uiPriority w:val="34"/>
    <w:qFormat/>
    <w:rsid w:val="006C6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MCGIN~1\LOCALS~1\Temp\SO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SOSletterhead</Template>
  <TotalTime>1</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6460</CharactersWithSpaces>
  <SharedDoc>false</SharedDoc>
  <HLinks>
    <vt:vector size="6" baseType="variant">
      <vt:variant>
        <vt:i4>1769516</vt:i4>
      </vt:variant>
      <vt:variant>
        <vt:i4>3</vt:i4>
      </vt:variant>
      <vt:variant>
        <vt:i4>0</vt:i4>
      </vt:variant>
      <vt:variant>
        <vt:i4>5</vt:i4>
      </vt:variant>
      <vt:variant>
        <vt:lpwstr>mailto:ROBERT.MALMQUIST@PROVIDER-FINANCIAL.COM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dc:creator>
  <cp:lastModifiedBy>Rodebeck, Aaron B</cp:lastModifiedBy>
  <cp:revision>2</cp:revision>
  <cp:lastPrinted>2019-06-13T16:03:00Z</cp:lastPrinted>
  <dcterms:created xsi:type="dcterms:W3CDTF">2023-01-24T18:18:00Z</dcterms:created>
  <dcterms:modified xsi:type="dcterms:W3CDTF">2023-01-24T18:18:00Z</dcterms:modified>
</cp:coreProperties>
</file>